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8190" w14:textId="4B17D9D8" w:rsidR="007C6797" w:rsidRDefault="00FB4B59" w:rsidP="00FB4B59">
      <w:pPr>
        <w:contextualSpacing/>
        <w:jc w:val="center"/>
      </w:pPr>
      <w:r>
        <w:rPr>
          <w:noProof/>
        </w:rPr>
        <w:drawing>
          <wp:inline distT="0" distB="0" distL="0" distR="0" wp14:anchorId="0E34BAA6" wp14:editId="26ADB96D">
            <wp:extent cx="895350" cy="8953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403CF826" w14:textId="21F26FD3" w:rsidR="004035F3" w:rsidRPr="004035F3" w:rsidRDefault="00715DFF" w:rsidP="00FC4131">
      <w:pPr>
        <w:spacing w:after="0" w:line="240" w:lineRule="auto"/>
        <w:contextualSpacing/>
        <w:jc w:val="center"/>
        <w:rPr>
          <w:b/>
          <w:bCs/>
          <w:sz w:val="36"/>
          <w:szCs w:val="36"/>
        </w:rPr>
      </w:pPr>
      <w:r>
        <w:rPr>
          <w:b/>
          <w:bCs/>
          <w:sz w:val="36"/>
          <w:szCs w:val="36"/>
        </w:rPr>
        <w:t>January 2021</w:t>
      </w:r>
      <w:r w:rsidR="004035F3" w:rsidRPr="004035F3">
        <w:rPr>
          <w:b/>
          <w:bCs/>
          <w:sz w:val="36"/>
          <w:szCs w:val="36"/>
        </w:rPr>
        <w:t xml:space="preserve"> VFDA Newsletter</w:t>
      </w:r>
    </w:p>
    <w:p w14:paraId="083B1E52" w14:textId="465D7C18" w:rsidR="00FB4B59" w:rsidRPr="004035F3" w:rsidRDefault="00C73056" w:rsidP="00FC4131">
      <w:pPr>
        <w:spacing w:after="0" w:line="240" w:lineRule="auto"/>
        <w:contextualSpacing/>
        <w:jc w:val="center"/>
        <w:rPr>
          <w:sz w:val="28"/>
          <w:szCs w:val="28"/>
        </w:rPr>
      </w:pPr>
      <w:r w:rsidRPr="004035F3">
        <w:rPr>
          <w:sz w:val="28"/>
          <w:szCs w:val="28"/>
        </w:rPr>
        <w:t>Legislative Agenda</w:t>
      </w:r>
      <w:r w:rsidR="004035F3">
        <w:rPr>
          <w:sz w:val="28"/>
          <w:szCs w:val="28"/>
        </w:rPr>
        <w:t xml:space="preserve"> and Updates</w:t>
      </w:r>
    </w:p>
    <w:p w14:paraId="52200600" w14:textId="2D8F7BA7" w:rsidR="00C73056" w:rsidRDefault="00FC4131" w:rsidP="00FC4131">
      <w:pPr>
        <w:spacing w:after="0" w:line="240" w:lineRule="auto"/>
        <w:contextualSpacing/>
        <w:jc w:val="center"/>
        <w:rPr>
          <w:sz w:val="28"/>
          <w:szCs w:val="28"/>
        </w:rPr>
      </w:pPr>
      <w:r>
        <w:rPr>
          <w:sz w:val="28"/>
          <w:szCs w:val="28"/>
        </w:rPr>
        <w:t>______</w:t>
      </w:r>
    </w:p>
    <w:p w14:paraId="2D3D53A8" w14:textId="11536DA4" w:rsidR="00FC4131" w:rsidRPr="002002E3" w:rsidRDefault="00FC4131" w:rsidP="00ED4792">
      <w:pPr>
        <w:contextualSpacing/>
        <w:jc w:val="both"/>
        <w:rPr>
          <w:sz w:val="16"/>
          <w:szCs w:val="16"/>
        </w:rPr>
      </w:pPr>
    </w:p>
    <w:p w14:paraId="31A50FE8" w14:textId="12BBB402" w:rsidR="00DE0BC6" w:rsidRPr="007539B0" w:rsidRDefault="00C751D5" w:rsidP="00ED4792">
      <w:pPr>
        <w:contextualSpacing/>
        <w:jc w:val="both"/>
      </w:pPr>
      <w:r w:rsidRPr="008B120D">
        <w:rPr>
          <w:b/>
          <w:bCs/>
          <w:noProof/>
          <w:sz w:val="32"/>
          <w:szCs w:val="32"/>
        </w:rPr>
        <mc:AlternateContent>
          <mc:Choice Requires="wps">
            <w:drawing>
              <wp:anchor distT="228600" distB="228600" distL="228600" distR="228600" simplePos="0" relativeHeight="251659264" behindDoc="1" locked="0" layoutInCell="1" allowOverlap="1" wp14:anchorId="77A04555" wp14:editId="54635B29">
                <wp:simplePos x="0" y="0"/>
                <wp:positionH relativeFrom="margin">
                  <wp:posOffset>-12700</wp:posOffset>
                </wp:positionH>
                <wp:positionV relativeFrom="margin">
                  <wp:posOffset>3479800</wp:posOffset>
                </wp:positionV>
                <wp:extent cx="6000750" cy="149034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6000750"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9269EDA" w14:textId="117B7904" w:rsidR="008B120D" w:rsidRPr="007C2F87" w:rsidRDefault="00C751D5" w:rsidP="00C751D5">
                            <w:pPr>
                              <w:pStyle w:val="NoSpacing"/>
                              <w:jc w:val="both"/>
                              <w:rPr>
                                <w:rFonts w:ascii="Times New Roman" w:hAnsi="Times New Roman" w:cs="Times New Roman"/>
                                <w:b/>
                                <w:bCs/>
                                <w:color w:val="44546A" w:themeColor="text2"/>
                                <w:sz w:val="32"/>
                                <w:szCs w:val="32"/>
                              </w:rPr>
                            </w:pPr>
                            <w:r w:rsidRPr="007C2F87">
                              <w:rPr>
                                <w:rFonts w:ascii="Times New Roman" w:hAnsi="Times New Roman" w:cs="Times New Roman"/>
                                <w:b/>
                                <w:bCs/>
                                <w:color w:val="44546A" w:themeColor="text2"/>
                                <w:sz w:val="32"/>
                                <w:szCs w:val="32"/>
                              </w:rPr>
                              <w:t xml:space="preserve">Engagement by the VFDA membership on this legislation </w:t>
                            </w:r>
                            <w:r w:rsidRPr="007C2F87">
                              <w:rPr>
                                <w:rFonts w:ascii="Times New Roman" w:hAnsi="Times New Roman" w:cs="Times New Roman"/>
                                <w:b/>
                                <w:bCs/>
                                <w:i/>
                                <w:iCs/>
                                <w:color w:val="44546A" w:themeColor="text2"/>
                                <w:sz w:val="32"/>
                                <w:szCs w:val="32"/>
                                <w:u w:val="single"/>
                              </w:rPr>
                              <w:t>is critical</w:t>
                            </w:r>
                            <w:r w:rsidRPr="007C2F87">
                              <w:rPr>
                                <w:rFonts w:ascii="Times New Roman" w:hAnsi="Times New Roman" w:cs="Times New Roman"/>
                                <w:b/>
                                <w:bCs/>
                                <w:color w:val="44546A" w:themeColor="text2"/>
                                <w:sz w:val="32"/>
                                <w:szCs w:val="32"/>
                              </w:rPr>
                              <w:t xml:space="preserve"> to successful promotion of the proposed legislation. </w:t>
                            </w:r>
                          </w:p>
                          <w:p w14:paraId="48DE3950" w14:textId="10498802" w:rsidR="00C751D5" w:rsidRPr="007C2F87" w:rsidRDefault="00C751D5" w:rsidP="00C751D5">
                            <w:pPr>
                              <w:pStyle w:val="NoSpacing"/>
                              <w:jc w:val="both"/>
                              <w:rPr>
                                <w:rFonts w:ascii="Times New Roman" w:hAnsi="Times New Roman" w:cs="Times New Roman"/>
                                <w:b/>
                                <w:bCs/>
                                <w:color w:val="44546A" w:themeColor="text2"/>
                                <w:sz w:val="32"/>
                                <w:szCs w:val="32"/>
                              </w:rPr>
                            </w:pPr>
                          </w:p>
                          <w:p w14:paraId="6FF37550" w14:textId="1E17F2BB" w:rsidR="00C751D5" w:rsidRPr="007C2F87" w:rsidRDefault="00C751D5" w:rsidP="00C751D5">
                            <w:pPr>
                              <w:pStyle w:val="NoSpacing"/>
                              <w:jc w:val="both"/>
                              <w:rPr>
                                <w:rFonts w:ascii="Times New Roman" w:hAnsi="Times New Roman" w:cs="Times New Roman"/>
                                <w:b/>
                                <w:bCs/>
                                <w:color w:val="44546A" w:themeColor="text2"/>
                                <w:sz w:val="32"/>
                                <w:szCs w:val="32"/>
                              </w:rPr>
                            </w:pPr>
                            <w:r w:rsidRPr="007C2F87">
                              <w:rPr>
                                <w:rFonts w:ascii="Times New Roman" w:hAnsi="Times New Roman" w:cs="Times New Roman"/>
                                <w:b/>
                                <w:bCs/>
                                <w:color w:val="44546A" w:themeColor="text2"/>
                                <w:sz w:val="32"/>
                                <w:szCs w:val="32"/>
                              </w:rPr>
                              <w:t>This will include outreach to legislators, engagement with your VFDA Executive Director and advocacy team, and reading emails to keep abreast of what is occurring during the legislative session.</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A04555" id="_x0000_t202" coordsize="21600,21600" o:spt="202" path="m,l,21600r21600,l21600,xe">
                <v:stroke joinstyle="miter"/>
                <v:path gradientshapeok="t" o:connecttype="rect"/>
              </v:shapetype>
              <v:shape id="Text Box 36" o:spid="_x0000_s1026" type="#_x0000_t202" style="position:absolute;left:0;text-align:left;margin-left:-1pt;margin-top:274pt;width:472.5pt;height:117.3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U4DgMAAOMGAAAOAAAAZHJzL2Uyb0RvYy54bWysVU1vGjEQvVfqf7B8b1ggSckqS0QTpaqU&#10;JlFClbPxemFVr+3aBjb99X32fgAp7aHqZRmPx/PxZuZxeVVXkmyEdaVWGR2eJJQIxXVeqmVGv81v&#10;P0wocZ6pnEmtREZfhaNX0/fvLrcmFSO90jIXlsCJcunWZHTlvUkHA8dXomLuRBuhcFloWzGPo10O&#10;csu28F7JwShJzgdbbXNjNRfOQXvTXNJp9F8UgvuHonDCE5lR5Obj18bvInwH00uWLi0zq5K3abB/&#10;yKJipULQ3tUN84ysbfmbq6rkVjtd+BOuq4EuipKLWAOqGSZvqnleMSNiLQDHmR4m9//c8vvNoyVl&#10;ntHxOSWKVejRXNSefNI1gQr4bI1LYfZsYOhr6NHnTu+gDGXXha3CLwoiuAfSrz26wRuH8jxJko9n&#10;uOK4G55eJOPTs+BnsHturPOfha5IEDJq0b6IKtvcOd+YdiYt2PltKWWUHUwagRgNhJL4Mg6SuJaW&#10;bBhGQPpRVPtS+UZzgazaMXDMf9V5q8ZwtWq5rnr1MKijHln3vmMNS7cffRjs/pqCW7FctMEmrVP4&#10;3MthF4yl+0lcdOZHc4By2WFhmF+R8MkoLy2XYZhYWgCyuX4CuGErzmKiYTNaCdvRZk+wIq3Ygg9X&#10;TbGW9chLRbbo7hitDd6VDi1p7KUKGhH3sO1gmKZmaqLkX6UINlI9iQJzGIcnKHpwG4gY50L5OHco&#10;MFoHq1BK/xCpjv/U9Caf1nyXVP/2aKsOgzZl4EUMrJXvH1el0vZY5Px7l3HR2AO8vbKD6OtFjeSC&#10;uND5K3bM6oalnOG3Jfbgjjn/yCxoCbsDqvUP+BRSA3TdSpSstP15TB/swRa4pWQLmsuo+7FmVlAi&#10;vyhsyXAymkwCMR6c7MFpcXBS6+paY26GIHbDo4j31stOLKyuXsDKsxAZV0xxxM+o78RrjxMuwOpc&#10;zGZRBhtiTu/Us+HBdYA4bPq8fmHWtHTgwST3uiNFlr5hhcY2vHRmtvYYw0gZO2Rb8MGk3QwH1g9U&#10;vX+OVrv/pukvAAAA//8DAFBLAwQUAAYACAAAACEAZkgk394AAAAKAQAADwAAAGRycy9kb3ducmV2&#10;LnhtbEyPzU7DMBCE70i8g7VIXFDrYErzQzYVQoJTLxgewIndJCK2g+226duznOA2ox3NflPvFjux&#10;kwlx9A7hfp0BM67zenQ9wufH66oAFpNyWk3eGYSLibBrrq9qVWl/du/mJFPPqMTFSiEMKc0V57Eb&#10;jFVx7Wfj6HbwwapENvRcB3WmcjtxkWVbbtXo6MOgZvMymO5LHi2C6L/zthCyfJNZkOmu3Mflske8&#10;vVmen4Als6S/MPziEzo0xNT6o9ORTQgrQVMSwuOmIEGBcvNAokXIC5EDb2r+f0LzAwAA//8DAFBL&#10;AQItABQABgAIAAAAIQC2gziS/gAAAOEBAAATAAAAAAAAAAAAAAAAAAAAAABbQ29udGVudF9UeXBl&#10;c10ueG1sUEsBAi0AFAAGAAgAAAAhADj9If/WAAAAlAEAAAsAAAAAAAAAAAAAAAAALwEAAF9yZWxz&#10;Ly5yZWxzUEsBAi0AFAAGAAgAAAAhAPmnRTgOAwAA4wYAAA4AAAAAAAAAAAAAAAAALgIAAGRycy9l&#10;Mm9Eb2MueG1sUEsBAi0AFAAGAAgAAAAhAGZIJN/eAAAACgEAAA8AAAAAAAAAAAAAAAAAaAUAAGRy&#10;cy9kb3ducmV2LnhtbFBLBQYAAAAABAAEAPMAAABzBgAAAAA=&#10;" fillcolor="#e9e8e8 [2899]" stroked="f" strokeweight=".5pt">
                <v:fill color2="#e1e0e0 [3139]" rotate="t" focusposition=".5,.5" focussize="-.5,-.5" focus="100%" type="gradientRadial"/>
                <v:textbox style="mso-fit-shape-to-text:t" inset="14.4pt,14.4pt,14.4pt,14.4pt">
                  <w:txbxContent>
                    <w:p w14:paraId="09269EDA" w14:textId="117B7904" w:rsidR="008B120D" w:rsidRPr="007C2F87" w:rsidRDefault="00C751D5" w:rsidP="00C751D5">
                      <w:pPr>
                        <w:pStyle w:val="NoSpacing"/>
                        <w:jc w:val="both"/>
                        <w:rPr>
                          <w:rFonts w:ascii="Times New Roman" w:hAnsi="Times New Roman" w:cs="Times New Roman"/>
                          <w:b/>
                          <w:bCs/>
                          <w:color w:val="44546A" w:themeColor="text2"/>
                          <w:sz w:val="32"/>
                          <w:szCs w:val="32"/>
                        </w:rPr>
                      </w:pPr>
                      <w:r w:rsidRPr="007C2F87">
                        <w:rPr>
                          <w:rFonts w:ascii="Times New Roman" w:hAnsi="Times New Roman" w:cs="Times New Roman"/>
                          <w:b/>
                          <w:bCs/>
                          <w:color w:val="44546A" w:themeColor="text2"/>
                          <w:sz w:val="32"/>
                          <w:szCs w:val="32"/>
                        </w:rPr>
                        <w:t xml:space="preserve">Engagement by the VFDA membership on this legislation </w:t>
                      </w:r>
                      <w:r w:rsidRPr="007C2F87">
                        <w:rPr>
                          <w:rFonts w:ascii="Times New Roman" w:hAnsi="Times New Roman" w:cs="Times New Roman"/>
                          <w:b/>
                          <w:bCs/>
                          <w:i/>
                          <w:iCs/>
                          <w:color w:val="44546A" w:themeColor="text2"/>
                          <w:sz w:val="32"/>
                          <w:szCs w:val="32"/>
                          <w:u w:val="single"/>
                        </w:rPr>
                        <w:t>is critical</w:t>
                      </w:r>
                      <w:r w:rsidRPr="007C2F87">
                        <w:rPr>
                          <w:rFonts w:ascii="Times New Roman" w:hAnsi="Times New Roman" w:cs="Times New Roman"/>
                          <w:b/>
                          <w:bCs/>
                          <w:color w:val="44546A" w:themeColor="text2"/>
                          <w:sz w:val="32"/>
                          <w:szCs w:val="32"/>
                        </w:rPr>
                        <w:t xml:space="preserve"> to successful promotion of the proposed legislation. </w:t>
                      </w:r>
                    </w:p>
                    <w:p w14:paraId="48DE3950" w14:textId="10498802" w:rsidR="00C751D5" w:rsidRPr="007C2F87" w:rsidRDefault="00C751D5" w:rsidP="00C751D5">
                      <w:pPr>
                        <w:pStyle w:val="NoSpacing"/>
                        <w:jc w:val="both"/>
                        <w:rPr>
                          <w:rFonts w:ascii="Times New Roman" w:hAnsi="Times New Roman" w:cs="Times New Roman"/>
                          <w:b/>
                          <w:bCs/>
                          <w:color w:val="44546A" w:themeColor="text2"/>
                          <w:sz w:val="32"/>
                          <w:szCs w:val="32"/>
                        </w:rPr>
                      </w:pPr>
                    </w:p>
                    <w:p w14:paraId="6FF37550" w14:textId="1E17F2BB" w:rsidR="00C751D5" w:rsidRPr="007C2F87" w:rsidRDefault="00C751D5" w:rsidP="00C751D5">
                      <w:pPr>
                        <w:pStyle w:val="NoSpacing"/>
                        <w:jc w:val="both"/>
                        <w:rPr>
                          <w:rFonts w:ascii="Times New Roman" w:hAnsi="Times New Roman" w:cs="Times New Roman"/>
                          <w:b/>
                          <w:bCs/>
                          <w:color w:val="44546A" w:themeColor="text2"/>
                          <w:sz w:val="32"/>
                          <w:szCs w:val="32"/>
                        </w:rPr>
                      </w:pPr>
                      <w:r w:rsidRPr="007C2F87">
                        <w:rPr>
                          <w:rFonts w:ascii="Times New Roman" w:hAnsi="Times New Roman" w:cs="Times New Roman"/>
                          <w:b/>
                          <w:bCs/>
                          <w:color w:val="44546A" w:themeColor="text2"/>
                          <w:sz w:val="32"/>
                          <w:szCs w:val="32"/>
                        </w:rPr>
                        <w:t>This will include outreach to legislators, engagement with your VFDA Executive Director and advocacy team, and reading emails to keep abreast of what is occurring during the legislative session.</w:t>
                      </w:r>
                    </w:p>
                  </w:txbxContent>
                </v:textbox>
                <w10:wrap type="square" anchorx="margin" anchory="margin"/>
              </v:shape>
            </w:pict>
          </mc:Fallback>
        </mc:AlternateContent>
      </w:r>
      <w:r w:rsidR="00715DFF" w:rsidRPr="007539B0">
        <w:t xml:space="preserve">As a reminder, in the October VFDA Newsletter we reported that the </w:t>
      </w:r>
      <w:r w:rsidR="00711D6F" w:rsidRPr="007539B0">
        <w:t xml:space="preserve">VFDA Executive and Legislative Committees have approved two pieces of legislation </w:t>
      </w:r>
      <w:r w:rsidR="004035F3" w:rsidRPr="007539B0">
        <w:t xml:space="preserve">that will be proactively lobbied </w:t>
      </w:r>
      <w:r w:rsidR="003F7334" w:rsidRPr="007539B0">
        <w:t xml:space="preserve">during the 2021 General Assembly session </w:t>
      </w:r>
      <w:r w:rsidR="008A65BF" w:rsidRPr="007539B0">
        <w:t xml:space="preserve">for which patrons will be sought and lobbying activities will be expended. </w:t>
      </w:r>
      <w:r w:rsidR="003F7334" w:rsidRPr="007539B0">
        <w:t xml:space="preserve">Due to the continuing </w:t>
      </w:r>
      <w:r w:rsidR="00EB2C48" w:rsidRPr="007539B0">
        <w:t xml:space="preserve">effects of COVID-19, the current information provided to the lobbying community is that direct contact will be severely limited. The Senate will continue to hold some committee meetings and the floor session at the Science Museum as they did for the nine-week Special Session. </w:t>
      </w:r>
      <w:r w:rsidR="00715DFF" w:rsidRPr="007539B0">
        <w:t>The</w:t>
      </w:r>
      <w:r w:rsidR="000518B9" w:rsidRPr="007539B0">
        <w:t xml:space="preserve"> House will continue to hold their committees and floor sessions remotely from their districts.</w:t>
      </w:r>
      <w:r w:rsidR="00EB2C48" w:rsidRPr="007539B0">
        <w:t xml:space="preserve"> </w:t>
      </w:r>
    </w:p>
    <w:p w14:paraId="4A9EB936" w14:textId="3D8C11C6" w:rsidR="00D10781" w:rsidRPr="00CA0BA0" w:rsidRDefault="00D10781" w:rsidP="00A55D53">
      <w:pPr>
        <w:pStyle w:val="ListParagraph"/>
        <w:numPr>
          <w:ilvl w:val="0"/>
          <w:numId w:val="2"/>
        </w:numPr>
        <w:jc w:val="both"/>
        <w:rPr>
          <w:b/>
          <w:bCs/>
          <w:color w:val="2F5496" w:themeColor="accent1" w:themeShade="BF"/>
          <w:sz w:val="28"/>
          <w:szCs w:val="28"/>
        </w:rPr>
      </w:pPr>
      <w:r w:rsidRPr="00CA0BA0">
        <w:rPr>
          <w:b/>
          <w:bCs/>
          <w:color w:val="2F5496" w:themeColor="accent1" w:themeShade="BF"/>
          <w:sz w:val="28"/>
          <w:szCs w:val="28"/>
        </w:rPr>
        <w:t xml:space="preserve">Establishing </w:t>
      </w:r>
      <w:r w:rsidR="00A3191D" w:rsidRPr="00CA0BA0">
        <w:rPr>
          <w:b/>
          <w:bCs/>
          <w:color w:val="2F5496" w:themeColor="accent1" w:themeShade="BF"/>
          <w:sz w:val="28"/>
          <w:szCs w:val="28"/>
        </w:rPr>
        <w:t xml:space="preserve">Order of </w:t>
      </w:r>
      <w:r w:rsidR="00D54D15" w:rsidRPr="00CA0BA0">
        <w:rPr>
          <w:b/>
          <w:bCs/>
          <w:color w:val="2F5496" w:themeColor="accent1" w:themeShade="BF"/>
          <w:sz w:val="28"/>
          <w:szCs w:val="28"/>
        </w:rPr>
        <w:t>Descendants; Control of Disposition of Decedent</w:t>
      </w:r>
    </w:p>
    <w:p w14:paraId="7B7409C5" w14:textId="6712D07F" w:rsidR="00CE61A3" w:rsidRPr="00E50D43" w:rsidRDefault="001221DD" w:rsidP="000518B9">
      <w:pPr>
        <w:contextualSpacing/>
        <w:jc w:val="both"/>
        <w:rPr>
          <w:sz w:val="26"/>
          <w:szCs w:val="26"/>
        </w:rPr>
      </w:pPr>
      <w:r w:rsidRPr="00E50D43">
        <w:rPr>
          <w:sz w:val="26"/>
          <w:szCs w:val="26"/>
        </w:rPr>
        <w:t xml:space="preserve">The first </w:t>
      </w:r>
      <w:r w:rsidR="00561006" w:rsidRPr="00E50D43">
        <w:rPr>
          <w:sz w:val="26"/>
          <w:szCs w:val="26"/>
        </w:rPr>
        <w:t xml:space="preserve">piece of legislation should not be new to membership. </w:t>
      </w:r>
      <w:r w:rsidR="0017400D" w:rsidRPr="00E50D43">
        <w:rPr>
          <w:sz w:val="26"/>
          <w:szCs w:val="26"/>
        </w:rPr>
        <w:t>We have commonly called it “Next-of-Kin” legislation</w:t>
      </w:r>
      <w:r w:rsidR="00CA0BA0">
        <w:rPr>
          <w:sz w:val="26"/>
          <w:szCs w:val="26"/>
        </w:rPr>
        <w:t>.</w:t>
      </w:r>
      <w:r w:rsidR="0017400D" w:rsidRPr="00E50D43">
        <w:rPr>
          <w:sz w:val="26"/>
          <w:szCs w:val="26"/>
        </w:rPr>
        <w:t xml:space="preserve"> </w:t>
      </w:r>
      <w:r w:rsidR="00561006" w:rsidRPr="00E50D43">
        <w:rPr>
          <w:sz w:val="26"/>
          <w:szCs w:val="26"/>
        </w:rPr>
        <w:t xml:space="preserve">It was patroned during the 2019 legislation by Senator Creigh Deeds and Delegate Mark Sickles. </w:t>
      </w:r>
      <w:r w:rsidR="00A55D53">
        <w:rPr>
          <w:sz w:val="26"/>
          <w:szCs w:val="26"/>
        </w:rPr>
        <w:t xml:space="preserve">They have each </w:t>
      </w:r>
      <w:r w:rsidR="00CA0BA0">
        <w:rPr>
          <w:sz w:val="26"/>
          <w:szCs w:val="26"/>
        </w:rPr>
        <w:t>agreed</w:t>
      </w:r>
      <w:r w:rsidR="00A55D53">
        <w:rPr>
          <w:sz w:val="26"/>
          <w:szCs w:val="26"/>
        </w:rPr>
        <w:t xml:space="preserve"> to patron the bill again. </w:t>
      </w:r>
      <w:r w:rsidR="00561006" w:rsidRPr="00E50D43">
        <w:rPr>
          <w:sz w:val="26"/>
          <w:szCs w:val="26"/>
        </w:rPr>
        <w:t xml:space="preserve">It has been streamlined with the help of the Virginia Bar Association. </w:t>
      </w:r>
      <w:r w:rsidR="00242A64" w:rsidRPr="00E50D43">
        <w:rPr>
          <w:sz w:val="26"/>
          <w:szCs w:val="26"/>
        </w:rPr>
        <w:t xml:space="preserve">The legislation </w:t>
      </w:r>
      <w:r w:rsidR="00186097" w:rsidRPr="00E50D43">
        <w:rPr>
          <w:sz w:val="26"/>
          <w:szCs w:val="26"/>
        </w:rPr>
        <w:t xml:space="preserve">establishes the </w:t>
      </w:r>
      <w:r w:rsidR="00D54D15" w:rsidRPr="00E50D43">
        <w:rPr>
          <w:sz w:val="26"/>
          <w:szCs w:val="26"/>
        </w:rPr>
        <w:t>order in which</w:t>
      </w:r>
      <w:r w:rsidR="00186097" w:rsidRPr="00E50D43">
        <w:rPr>
          <w:sz w:val="26"/>
          <w:szCs w:val="26"/>
        </w:rPr>
        <w:t xml:space="preserve"> the next-of-kin</w:t>
      </w:r>
      <w:r w:rsidR="00D54D15" w:rsidRPr="00E50D43">
        <w:rPr>
          <w:sz w:val="26"/>
          <w:szCs w:val="26"/>
        </w:rPr>
        <w:t xml:space="preserve"> </w:t>
      </w:r>
      <w:r w:rsidR="00186097" w:rsidRPr="00E50D43">
        <w:rPr>
          <w:sz w:val="26"/>
          <w:szCs w:val="26"/>
        </w:rPr>
        <w:t>controls the decision-making process about the decedent’s disposition</w:t>
      </w:r>
      <w:r w:rsidR="00A928D7" w:rsidRPr="00E50D43">
        <w:rPr>
          <w:sz w:val="26"/>
          <w:szCs w:val="26"/>
        </w:rPr>
        <w:t xml:space="preserve">, </w:t>
      </w:r>
      <w:proofErr w:type="gramStart"/>
      <w:r w:rsidR="00C11EED" w:rsidRPr="00E50D43">
        <w:rPr>
          <w:sz w:val="26"/>
          <w:szCs w:val="26"/>
        </w:rPr>
        <w:t>similar to</w:t>
      </w:r>
      <w:proofErr w:type="gramEnd"/>
      <w:r w:rsidR="00C11EED" w:rsidRPr="00E50D43">
        <w:rPr>
          <w:sz w:val="26"/>
          <w:szCs w:val="26"/>
        </w:rPr>
        <w:t xml:space="preserve"> the course o</w:t>
      </w:r>
      <w:r w:rsidR="00A3191D" w:rsidRPr="00E50D43">
        <w:rPr>
          <w:sz w:val="26"/>
          <w:szCs w:val="26"/>
        </w:rPr>
        <w:t>f</w:t>
      </w:r>
      <w:r w:rsidR="00C11EED" w:rsidRPr="00E50D43">
        <w:rPr>
          <w:sz w:val="26"/>
          <w:szCs w:val="26"/>
        </w:rPr>
        <w:t xml:space="preserve"> descendants within </w:t>
      </w:r>
      <w:r w:rsidR="00A928D7" w:rsidRPr="00E50D43">
        <w:rPr>
          <w:sz w:val="26"/>
          <w:szCs w:val="26"/>
        </w:rPr>
        <w:t xml:space="preserve">the Code of Virginia Title 64.2-200, Wills, Trusts, and </w:t>
      </w:r>
      <w:r w:rsidR="00D10781" w:rsidRPr="00E50D43">
        <w:rPr>
          <w:sz w:val="26"/>
          <w:szCs w:val="26"/>
        </w:rPr>
        <w:t>F</w:t>
      </w:r>
      <w:r w:rsidR="00A928D7" w:rsidRPr="00E50D43">
        <w:rPr>
          <w:sz w:val="26"/>
          <w:szCs w:val="26"/>
        </w:rPr>
        <w:t>iduciaries</w:t>
      </w:r>
      <w:r w:rsidR="00C11EED" w:rsidRPr="00E50D43">
        <w:rPr>
          <w:sz w:val="26"/>
          <w:szCs w:val="26"/>
        </w:rPr>
        <w:t xml:space="preserve">. </w:t>
      </w:r>
    </w:p>
    <w:p w14:paraId="198AD459" w14:textId="77777777" w:rsidR="00CE61A3" w:rsidRPr="00A55D53" w:rsidRDefault="00CE61A3" w:rsidP="00ED4792">
      <w:pPr>
        <w:contextualSpacing/>
        <w:jc w:val="both"/>
        <w:rPr>
          <w:sz w:val="16"/>
          <w:szCs w:val="16"/>
        </w:rPr>
      </w:pPr>
    </w:p>
    <w:p w14:paraId="3D918AA5" w14:textId="40F4C8C9" w:rsidR="001221DD" w:rsidRDefault="00C11EED" w:rsidP="00ED4792">
      <w:pPr>
        <w:contextualSpacing/>
        <w:jc w:val="both"/>
        <w:rPr>
          <w:sz w:val="26"/>
          <w:szCs w:val="26"/>
        </w:rPr>
      </w:pPr>
      <w:r w:rsidRPr="00E50D43">
        <w:rPr>
          <w:sz w:val="26"/>
          <w:szCs w:val="26"/>
        </w:rPr>
        <w:t xml:space="preserve">The </w:t>
      </w:r>
      <w:r w:rsidR="00D54D15" w:rsidRPr="00E50D43">
        <w:rPr>
          <w:sz w:val="26"/>
          <w:szCs w:val="26"/>
        </w:rPr>
        <w:t>order</w:t>
      </w:r>
      <w:r w:rsidR="00A928D7" w:rsidRPr="00E50D43">
        <w:rPr>
          <w:sz w:val="26"/>
          <w:szCs w:val="26"/>
        </w:rPr>
        <w:t xml:space="preserve"> </w:t>
      </w:r>
      <w:r w:rsidRPr="00E50D43">
        <w:rPr>
          <w:sz w:val="26"/>
          <w:szCs w:val="26"/>
        </w:rPr>
        <w:t xml:space="preserve">established within the “Next-of-Kin” legislation </w:t>
      </w:r>
      <w:r w:rsidR="00CE61A3" w:rsidRPr="00E50D43">
        <w:rPr>
          <w:sz w:val="26"/>
          <w:szCs w:val="26"/>
        </w:rPr>
        <w:t xml:space="preserve">clarifies who has the right to determine the disposition of the a decedent; how and when that right can be transferred; </w:t>
      </w:r>
      <w:r w:rsidR="00621F5A" w:rsidRPr="00E50D43">
        <w:rPr>
          <w:sz w:val="26"/>
          <w:szCs w:val="26"/>
        </w:rPr>
        <w:t xml:space="preserve">and </w:t>
      </w:r>
      <w:r w:rsidR="00550467" w:rsidRPr="00E50D43">
        <w:rPr>
          <w:sz w:val="26"/>
          <w:szCs w:val="26"/>
        </w:rPr>
        <w:t>what acceptable contact of next-of-kin includes</w:t>
      </w:r>
      <w:r w:rsidR="00186097" w:rsidRPr="00E50D43">
        <w:rPr>
          <w:sz w:val="26"/>
          <w:szCs w:val="26"/>
        </w:rPr>
        <w:t>. It does not preclude anyone from paying the funeral home for the services</w:t>
      </w:r>
      <w:r w:rsidR="00501E24" w:rsidRPr="00E50D43">
        <w:rPr>
          <w:sz w:val="26"/>
          <w:szCs w:val="26"/>
        </w:rPr>
        <w:t xml:space="preserve">, </w:t>
      </w:r>
      <w:proofErr w:type="gramStart"/>
      <w:r w:rsidR="00501E24" w:rsidRPr="00E50D43">
        <w:rPr>
          <w:sz w:val="26"/>
          <w:szCs w:val="26"/>
        </w:rPr>
        <w:t>whether or not</w:t>
      </w:r>
      <w:proofErr w:type="gramEnd"/>
      <w:r w:rsidR="00501E24" w:rsidRPr="00E50D43">
        <w:rPr>
          <w:sz w:val="26"/>
          <w:szCs w:val="26"/>
        </w:rPr>
        <w:t xml:space="preserve"> the person is next-of-kin</w:t>
      </w:r>
      <w:r w:rsidR="00A928D7" w:rsidRPr="00E50D43">
        <w:rPr>
          <w:sz w:val="26"/>
          <w:szCs w:val="26"/>
        </w:rPr>
        <w:t xml:space="preserve">. </w:t>
      </w:r>
      <w:r w:rsidR="00550467" w:rsidRPr="00E50D43">
        <w:rPr>
          <w:sz w:val="26"/>
          <w:szCs w:val="26"/>
        </w:rPr>
        <w:t xml:space="preserve">The </w:t>
      </w:r>
      <w:r w:rsidR="00550467" w:rsidRPr="00E50D43">
        <w:rPr>
          <w:sz w:val="26"/>
          <w:szCs w:val="26"/>
        </w:rPr>
        <w:lastRenderedPageBreak/>
        <w:t xml:space="preserve">legislation also defines “disposition” </w:t>
      </w:r>
      <w:r w:rsidR="0097672D" w:rsidRPr="00E50D43">
        <w:rPr>
          <w:sz w:val="26"/>
          <w:szCs w:val="26"/>
        </w:rPr>
        <w:t xml:space="preserve">and </w:t>
      </w:r>
      <w:r w:rsidR="00550467" w:rsidRPr="00E50D43">
        <w:rPr>
          <w:sz w:val="26"/>
          <w:szCs w:val="26"/>
        </w:rPr>
        <w:t>“next-of-kin</w:t>
      </w:r>
      <w:r w:rsidR="0097672D" w:rsidRPr="00E50D43">
        <w:rPr>
          <w:sz w:val="26"/>
          <w:szCs w:val="26"/>
        </w:rPr>
        <w:t xml:space="preserve">,” as well as providing immunity for funeral service establishments and crematories that have followed the </w:t>
      </w:r>
      <w:r w:rsidR="00F0515C" w:rsidRPr="00E50D43">
        <w:rPr>
          <w:sz w:val="26"/>
          <w:szCs w:val="26"/>
        </w:rPr>
        <w:t>established guidance.</w:t>
      </w:r>
      <w:r w:rsidR="00550467" w:rsidRPr="00E50D43">
        <w:rPr>
          <w:sz w:val="26"/>
          <w:szCs w:val="26"/>
        </w:rPr>
        <w:t xml:space="preserve"> </w:t>
      </w:r>
    </w:p>
    <w:p w14:paraId="09C79027" w14:textId="28FE424D" w:rsidR="004313AF" w:rsidRDefault="004313AF" w:rsidP="00ED4792">
      <w:pPr>
        <w:contextualSpacing/>
        <w:jc w:val="both"/>
        <w:rPr>
          <w:sz w:val="26"/>
          <w:szCs w:val="26"/>
        </w:rPr>
      </w:pPr>
    </w:p>
    <w:p w14:paraId="3D424250" w14:textId="4CE9CF81" w:rsidR="001E3D7C" w:rsidRPr="001E3D7C" w:rsidRDefault="001E3D7C" w:rsidP="001E3D7C">
      <w:pPr>
        <w:contextualSpacing/>
        <w:jc w:val="center"/>
        <w:rPr>
          <w:b/>
          <w:bCs/>
          <w:sz w:val="26"/>
          <w:szCs w:val="26"/>
          <w:u w:val="single"/>
        </w:rPr>
      </w:pPr>
      <w:r w:rsidRPr="001E3D7C">
        <w:rPr>
          <w:b/>
          <w:bCs/>
          <w:sz w:val="26"/>
          <w:szCs w:val="26"/>
          <w:u w:val="single"/>
        </w:rPr>
        <w:t>SUPPORT/OPPOSITION</w:t>
      </w:r>
    </w:p>
    <w:p w14:paraId="262207FE" w14:textId="337EC736" w:rsidR="004313AF" w:rsidRDefault="004313AF" w:rsidP="004313AF">
      <w:pPr>
        <w:pStyle w:val="ListParagraph"/>
        <w:numPr>
          <w:ilvl w:val="0"/>
          <w:numId w:val="5"/>
        </w:numPr>
        <w:jc w:val="both"/>
        <w:rPr>
          <w:sz w:val="26"/>
          <w:szCs w:val="26"/>
        </w:rPr>
      </w:pPr>
      <w:r>
        <w:rPr>
          <w:sz w:val="26"/>
          <w:szCs w:val="26"/>
        </w:rPr>
        <w:t>SCI has agreed to support; however, they do not support our manager of record legislation and will only invest time in NOK if they do not have to invest in opposing MOR.</w:t>
      </w:r>
    </w:p>
    <w:p w14:paraId="21AD3F4E" w14:textId="01E354F5" w:rsidR="004313AF" w:rsidRDefault="004313AF" w:rsidP="004313AF">
      <w:pPr>
        <w:pStyle w:val="ListParagraph"/>
        <w:numPr>
          <w:ilvl w:val="0"/>
          <w:numId w:val="5"/>
        </w:numPr>
        <w:jc w:val="both"/>
        <w:rPr>
          <w:sz w:val="26"/>
          <w:szCs w:val="26"/>
        </w:rPr>
      </w:pPr>
      <w:r>
        <w:rPr>
          <w:sz w:val="26"/>
          <w:szCs w:val="26"/>
        </w:rPr>
        <w:t>VMA has decided to stay neutral at this point. We continue to reach out for support from them.</w:t>
      </w:r>
    </w:p>
    <w:p w14:paraId="093EED22" w14:textId="63728DDF" w:rsidR="004313AF" w:rsidRDefault="004313AF" w:rsidP="004313AF">
      <w:pPr>
        <w:pStyle w:val="ListParagraph"/>
        <w:numPr>
          <w:ilvl w:val="0"/>
          <w:numId w:val="5"/>
        </w:numPr>
        <w:jc w:val="both"/>
        <w:rPr>
          <w:sz w:val="26"/>
          <w:szCs w:val="26"/>
        </w:rPr>
      </w:pPr>
      <w:r>
        <w:rPr>
          <w:sz w:val="26"/>
          <w:szCs w:val="26"/>
        </w:rPr>
        <w:t xml:space="preserve">IFHVA </w:t>
      </w:r>
      <w:r w:rsidR="001E3D7C">
        <w:rPr>
          <w:sz w:val="26"/>
          <w:szCs w:val="26"/>
        </w:rPr>
        <w:t>oppose the NOK but have agreed to support the MOR legislation.</w:t>
      </w:r>
    </w:p>
    <w:p w14:paraId="3CB99A19" w14:textId="66F48099" w:rsidR="001E3D7C" w:rsidRPr="0002069B" w:rsidRDefault="001E3D7C" w:rsidP="004313AF">
      <w:pPr>
        <w:pStyle w:val="ListParagraph"/>
        <w:numPr>
          <w:ilvl w:val="0"/>
          <w:numId w:val="5"/>
        </w:numPr>
        <w:jc w:val="both"/>
        <w:rPr>
          <w:sz w:val="26"/>
          <w:szCs w:val="26"/>
        </w:rPr>
      </w:pPr>
      <w:r>
        <w:rPr>
          <w:sz w:val="26"/>
          <w:szCs w:val="26"/>
        </w:rPr>
        <w:t>The Virginia Bar has indicated that VFDA can say that we collaborated on the language before the General Assembly and they do not oppose</w:t>
      </w:r>
      <w:r w:rsidR="003B57D8">
        <w:rPr>
          <w:sz w:val="26"/>
          <w:szCs w:val="26"/>
        </w:rPr>
        <w:t xml:space="preserve">. (They do not </w:t>
      </w:r>
      <w:r w:rsidR="003B57D8" w:rsidRPr="0002069B">
        <w:rPr>
          <w:sz w:val="26"/>
          <w:szCs w:val="26"/>
        </w:rPr>
        <w:t>consider it in</w:t>
      </w:r>
      <w:r w:rsidRPr="0002069B">
        <w:rPr>
          <w:sz w:val="26"/>
          <w:szCs w:val="26"/>
        </w:rPr>
        <w:t xml:space="preserve"> their “silo of excellence</w:t>
      </w:r>
      <w:r w:rsidR="003B57D8" w:rsidRPr="0002069B">
        <w:rPr>
          <w:sz w:val="26"/>
          <w:szCs w:val="26"/>
        </w:rPr>
        <w:t>.</w:t>
      </w:r>
      <w:r w:rsidRPr="0002069B">
        <w:rPr>
          <w:sz w:val="26"/>
          <w:szCs w:val="26"/>
        </w:rPr>
        <w:t>”</w:t>
      </w:r>
      <w:r w:rsidR="003B57D8" w:rsidRPr="0002069B">
        <w:rPr>
          <w:sz w:val="26"/>
          <w:szCs w:val="26"/>
        </w:rPr>
        <w:t>)</w:t>
      </w:r>
    </w:p>
    <w:p w14:paraId="0FA69250" w14:textId="2E77AED7" w:rsidR="0049677D" w:rsidRPr="0049677D" w:rsidRDefault="0049677D" w:rsidP="004313AF">
      <w:pPr>
        <w:pStyle w:val="ListParagraph"/>
        <w:numPr>
          <w:ilvl w:val="0"/>
          <w:numId w:val="5"/>
        </w:numPr>
        <w:jc w:val="both"/>
        <w:rPr>
          <w:rFonts w:cs="Times New Roman"/>
          <w:sz w:val="26"/>
          <w:szCs w:val="26"/>
        </w:rPr>
      </w:pPr>
      <w:r>
        <w:rPr>
          <w:rFonts w:cs="Times New Roman"/>
          <w:color w:val="000000"/>
          <w:sz w:val="26"/>
          <w:szCs w:val="26"/>
        </w:rPr>
        <w:t xml:space="preserve">Virginia </w:t>
      </w:r>
      <w:r w:rsidR="001C2BC8">
        <w:rPr>
          <w:rFonts w:cs="Times New Roman"/>
          <w:color w:val="000000"/>
          <w:sz w:val="26"/>
          <w:szCs w:val="26"/>
        </w:rPr>
        <w:t>A</w:t>
      </w:r>
      <w:r>
        <w:rPr>
          <w:rFonts w:cs="Times New Roman"/>
          <w:color w:val="000000"/>
          <w:sz w:val="26"/>
          <w:szCs w:val="26"/>
        </w:rPr>
        <w:t xml:space="preserve">ssociation for Hospices </w:t>
      </w:r>
      <w:r w:rsidR="001C2BC8">
        <w:rPr>
          <w:rFonts w:cs="Times New Roman"/>
          <w:color w:val="000000"/>
          <w:sz w:val="26"/>
          <w:szCs w:val="26"/>
        </w:rPr>
        <w:t xml:space="preserve">(Becky Bowers Lanier) </w:t>
      </w:r>
      <w:r>
        <w:rPr>
          <w:rFonts w:cs="Times New Roman"/>
          <w:color w:val="000000"/>
          <w:sz w:val="26"/>
          <w:szCs w:val="26"/>
        </w:rPr>
        <w:t xml:space="preserve"> </w:t>
      </w:r>
    </w:p>
    <w:p w14:paraId="32A0C1FD" w14:textId="1141F0BA" w:rsidR="0049677D" w:rsidRPr="0049677D" w:rsidRDefault="0049677D" w:rsidP="004313AF">
      <w:pPr>
        <w:pStyle w:val="ListParagraph"/>
        <w:numPr>
          <w:ilvl w:val="0"/>
          <w:numId w:val="5"/>
        </w:numPr>
        <w:jc w:val="both"/>
        <w:rPr>
          <w:rFonts w:cs="Times New Roman"/>
          <w:sz w:val="26"/>
          <w:szCs w:val="26"/>
        </w:rPr>
      </w:pPr>
      <w:r>
        <w:rPr>
          <w:rFonts w:cs="Times New Roman"/>
          <w:color w:val="000000"/>
          <w:sz w:val="26"/>
          <w:szCs w:val="26"/>
        </w:rPr>
        <w:t xml:space="preserve">Virginia Assisted Living Association </w:t>
      </w:r>
      <w:r w:rsidR="001C2BC8">
        <w:rPr>
          <w:rFonts w:cs="Times New Roman"/>
          <w:color w:val="000000"/>
          <w:sz w:val="26"/>
          <w:szCs w:val="26"/>
        </w:rPr>
        <w:t>(Julia Hammond)</w:t>
      </w:r>
    </w:p>
    <w:p w14:paraId="030CACEB" w14:textId="0D23DFB1" w:rsidR="0049677D" w:rsidRPr="00F5281D" w:rsidRDefault="0049677D" w:rsidP="004313AF">
      <w:pPr>
        <w:pStyle w:val="ListParagraph"/>
        <w:numPr>
          <w:ilvl w:val="0"/>
          <w:numId w:val="5"/>
        </w:numPr>
        <w:jc w:val="both"/>
        <w:rPr>
          <w:rFonts w:cs="Times New Roman"/>
          <w:sz w:val="26"/>
          <w:szCs w:val="26"/>
        </w:rPr>
      </w:pPr>
      <w:r>
        <w:rPr>
          <w:rFonts w:cs="Times New Roman"/>
          <w:color w:val="000000"/>
          <w:sz w:val="26"/>
          <w:szCs w:val="26"/>
        </w:rPr>
        <w:t>V</w:t>
      </w:r>
      <w:r w:rsidR="001C2BC8">
        <w:rPr>
          <w:rFonts w:cs="Times New Roman"/>
          <w:color w:val="000000"/>
          <w:sz w:val="26"/>
          <w:szCs w:val="26"/>
        </w:rPr>
        <w:t xml:space="preserve">irginia </w:t>
      </w:r>
      <w:r>
        <w:rPr>
          <w:rFonts w:cs="Times New Roman"/>
          <w:color w:val="000000"/>
          <w:sz w:val="26"/>
          <w:szCs w:val="26"/>
        </w:rPr>
        <w:t>H</w:t>
      </w:r>
      <w:r w:rsidR="001C2BC8">
        <w:rPr>
          <w:rFonts w:cs="Times New Roman"/>
          <w:color w:val="000000"/>
          <w:sz w:val="26"/>
          <w:szCs w:val="26"/>
        </w:rPr>
        <w:t xml:space="preserve">ospital &amp; </w:t>
      </w:r>
      <w:r>
        <w:rPr>
          <w:rFonts w:cs="Times New Roman"/>
          <w:color w:val="000000"/>
          <w:sz w:val="26"/>
          <w:szCs w:val="26"/>
        </w:rPr>
        <w:t>H</w:t>
      </w:r>
      <w:r w:rsidR="001C2BC8">
        <w:rPr>
          <w:rFonts w:cs="Times New Roman"/>
          <w:color w:val="000000"/>
          <w:sz w:val="26"/>
          <w:szCs w:val="26"/>
        </w:rPr>
        <w:t xml:space="preserve">ealthcare </w:t>
      </w:r>
      <w:r>
        <w:rPr>
          <w:rFonts w:cs="Times New Roman"/>
          <w:color w:val="000000"/>
          <w:sz w:val="26"/>
          <w:szCs w:val="26"/>
        </w:rPr>
        <w:t>A</w:t>
      </w:r>
      <w:r w:rsidR="001C2BC8">
        <w:rPr>
          <w:rFonts w:cs="Times New Roman"/>
          <w:color w:val="000000"/>
          <w:sz w:val="26"/>
          <w:szCs w:val="26"/>
        </w:rPr>
        <w:t>ssociation (Julie Dime)</w:t>
      </w:r>
      <w:r>
        <w:rPr>
          <w:rFonts w:cs="Times New Roman"/>
          <w:color w:val="000000"/>
          <w:sz w:val="26"/>
          <w:szCs w:val="26"/>
        </w:rPr>
        <w:t xml:space="preserve"> is neutral</w:t>
      </w:r>
    </w:p>
    <w:p w14:paraId="34494C36" w14:textId="01D7D9C7" w:rsidR="00F5281D" w:rsidRPr="0002069B" w:rsidRDefault="00F5281D" w:rsidP="004313AF">
      <w:pPr>
        <w:pStyle w:val="ListParagraph"/>
        <w:numPr>
          <w:ilvl w:val="0"/>
          <w:numId w:val="5"/>
        </w:numPr>
        <w:jc w:val="both"/>
        <w:rPr>
          <w:rFonts w:cs="Times New Roman"/>
          <w:sz w:val="26"/>
          <w:szCs w:val="26"/>
        </w:rPr>
      </w:pPr>
      <w:r>
        <w:rPr>
          <w:rFonts w:cs="Times New Roman"/>
          <w:color w:val="000000"/>
          <w:sz w:val="26"/>
          <w:szCs w:val="26"/>
        </w:rPr>
        <w:t>AARP is neutral – they have not yet discussed internally their position on any wills and estates. That is planned for later this year. They do not oppose.</w:t>
      </w:r>
    </w:p>
    <w:p w14:paraId="3792BB2B" w14:textId="77777777" w:rsidR="00CA0BA0" w:rsidRDefault="00CA0BA0" w:rsidP="00ED4792">
      <w:pPr>
        <w:contextualSpacing/>
        <w:jc w:val="both"/>
        <w:rPr>
          <w:sz w:val="26"/>
          <w:szCs w:val="26"/>
        </w:rPr>
      </w:pPr>
    </w:p>
    <w:p w14:paraId="24BF85BE" w14:textId="2B2D9494" w:rsidR="003B68FA" w:rsidRDefault="00BD19D4" w:rsidP="00ED4792">
      <w:pPr>
        <w:contextualSpacing/>
        <w:jc w:val="both"/>
        <w:rPr>
          <w:sz w:val="26"/>
          <w:szCs w:val="26"/>
        </w:rPr>
      </w:pPr>
      <w:r w:rsidRPr="00BD19D4">
        <w:rPr>
          <w:b/>
          <w:bCs/>
          <w:color w:val="FF0000"/>
          <w:sz w:val="26"/>
          <w:szCs w:val="26"/>
        </w:rPr>
        <w:t>***</w:t>
      </w:r>
      <w:r w:rsidR="003B68FA">
        <w:rPr>
          <w:sz w:val="26"/>
          <w:szCs w:val="26"/>
        </w:rPr>
        <w:t xml:space="preserve">We </w:t>
      </w:r>
      <w:r w:rsidR="00CA0BA0">
        <w:rPr>
          <w:sz w:val="26"/>
          <w:szCs w:val="26"/>
        </w:rPr>
        <w:t>requested that you send</w:t>
      </w:r>
      <w:r w:rsidR="003B68FA">
        <w:rPr>
          <w:sz w:val="26"/>
          <w:szCs w:val="26"/>
        </w:rPr>
        <w:t xml:space="preserve"> your stories of how family di</w:t>
      </w:r>
      <w:r w:rsidR="00263693">
        <w:rPr>
          <w:sz w:val="26"/>
          <w:szCs w:val="26"/>
        </w:rPr>
        <w:t>spute</w:t>
      </w:r>
      <w:r w:rsidR="003B68FA">
        <w:rPr>
          <w:sz w:val="26"/>
          <w:szCs w:val="26"/>
        </w:rPr>
        <w:t xml:space="preserve"> has created challenges </w:t>
      </w:r>
      <w:r w:rsidR="00603FA0">
        <w:rPr>
          <w:sz w:val="26"/>
          <w:szCs w:val="26"/>
        </w:rPr>
        <w:t xml:space="preserve">for </w:t>
      </w:r>
      <w:r w:rsidR="00263693">
        <w:rPr>
          <w:sz w:val="26"/>
          <w:szCs w:val="26"/>
        </w:rPr>
        <w:t xml:space="preserve">families and funeral homes alike </w:t>
      </w:r>
      <w:r w:rsidR="002002E3">
        <w:rPr>
          <w:sz w:val="26"/>
          <w:szCs w:val="26"/>
        </w:rPr>
        <w:t xml:space="preserve">when trying to provide services and final disposition. Please send them to Lacy </w:t>
      </w:r>
      <w:r w:rsidR="00CA0BA0">
        <w:rPr>
          <w:sz w:val="26"/>
          <w:szCs w:val="26"/>
        </w:rPr>
        <w:t>immediately</w:t>
      </w:r>
      <w:r w:rsidR="002002E3">
        <w:rPr>
          <w:sz w:val="26"/>
          <w:szCs w:val="26"/>
        </w:rPr>
        <w:t>.</w:t>
      </w:r>
    </w:p>
    <w:p w14:paraId="4C9A52C4" w14:textId="77777777" w:rsidR="003B68FA" w:rsidRPr="003B68FA" w:rsidRDefault="00F0515C" w:rsidP="00ED4792">
      <w:pPr>
        <w:pStyle w:val="ListParagraph"/>
        <w:numPr>
          <w:ilvl w:val="0"/>
          <w:numId w:val="2"/>
        </w:numPr>
        <w:jc w:val="both"/>
        <w:rPr>
          <w:color w:val="2F5496" w:themeColor="accent1" w:themeShade="BF"/>
          <w:sz w:val="26"/>
          <w:szCs w:val="26"/>
        </w:rPr>
      </w:pPr>
      <w:r w:rsidRPr="003B68FA">
        <w:rPr>
          <w:color w:val="2F5496" w:themeColor="accent1" w:themeShade="BF"/>
          <w:sz w:val="28"/>
          <w:szCs w:val="28"/>
        </w:rPr>
        <w:t>Manager of Record for Funeral Service Establishments</w:t>
      </w:r>
    </w:p>
    <w:p w14:paraId="71561414" w14:textId="3E4A7E6A" w:rsidR="0017400D" w:rsidRDefault="0017400D" w:rsidP="003B68FA">
      <w:pPr>
        <w:jc w:val="both"/>
        <w:rPr>
          <w:sz w:val="26"/>
          <w:szCs w:val="26"/>
        </w:rPr>
      </w:pPr>
      <w:r w:rsidRPr="003B68FA">
        <w:rPr>
          <w:sz w:val="26"/>
          <w:szCs w:val="26"/>
        </w:rPr>
        <w:t>The second piece of proposed legislation is in response to legislation, which passed during the 2020 regular session requiring the Board of Funeral Directors and Embalmers to promulgate regulations to re-establish funeral director-only and embalmer-only licenses.</w:t>
      </w:r>
      <w:r w:rsidR="00146A01" w:rsidRPr="003B68FA">
        <w:rPr>
          <w:sz w:val="26"/>
          <w:szCs w:val="26"/>
        </w:rPr>
        <w:t xml:space="preserve"> During the expedited regulatory process, BFDE staff informed RAP members that the legislation did not provide leeway to change anything regarding the </w:t>
      </w:r>
      <w:r w:rsidR="002149A6" w:rsidRPr="003B68FA">
        <w:rPr>
          <w:sz w:val="26"/>
          <w:szCs w:val="26"/>
        </w:rPr>
        <w:t xml:space="preserve">status or requirements of a manager of record of a funeral service establishment and blocked addressing the concern. However, it remains a concern for membership and </w:t>
      </w:r>
      <w:r w:rsidR="007A67DF" w:rsidRPr="003B68FA">
        <w:rPr>
          <w:sz w:val="26"/>
          <w:szCs w:val="26"/>
        </w:rPr>
        <w:t>legislation has been proposed establishing what level of credentialing a manager of record for a funeral service establishment mus</w:t>
      </w:r>
      <w:r w:rsidR="00934950" w:rsidRPr="003B68FA">
        <w:rPr>
          <w:sz w:val="26"/>
          <w:szCs w:val="26"/>
        </w:rPr>
        <w:t xml:space="preserve">t have based upon whether embalming services are provided. </w:t>
      </w:r>
    </w:p>
    <w:p w14:paraId="4AE06E6A" w14:textId="3204AF10" w:rsidR="00432E8B" w:rsidRDefault="00432E8B" w:rsidP="003B68FA">
      <w:pPr>
        <w:jc w:val="both"/>
        <w:rPr>
          <w:sz w:val="26"/>
          <w:szCs w:val="26"/>
        </w:rPr>
      </w:pPr>
      <w:r>
        <w:rPr>
          <w:sz w:val="26"/>
          <w:szCs w:val="26"/>
        </w:rPr>
        <w:t>We asked Senator Jeremy McPike to patron the legislation</w:t>
      </w:r>
      <w:r w:rsidR="00BD19D4">
        <w:rPr>
          <w:sz w:val="26"/>
          <w:szCs w:val="26"/>
        </w:rPr>
        <w:t>; however, he declined. Senator John Cosgrove has agreed to be our patron</w:t>
      </w:r>
      <w:r w:rsidR="007539B0">
        <w:rPr>
          <w:sz w:val="26"/>
          <w:szCs w:val="26"/>
        </w:rPr>
        <w:t xml:space="preserve"> and the legislation will be transferred by Senator McPike’s office to Senator Cosgrove’s. </w:t>
      </w:r>
    </w:p>
    <w:p w14:paraId="78BCCC81" w14:textId="77777777" w:rsidR="007C2F87" w:rsidRPr="003B68FA" w:rsidRDefault="007C2F87" w:rsidP="003B68FA">
      <w:pPr>
        <w:jc w:val="both"/>
        <w:rPr>
          <w:color w:val="2F5496" w:themeColor="accent1" w:themeShade="BF"/>
          <w:sz w:val="26"/>
          <w:szCs w:val="26"/>
        </w:rPr>
      </w:pPr>
    </w:p>
    <w:p w14:paraId="48B0DC9D" w14:textId="7B2C20BF" w:rsidR="00F0515C" w:rsidRPr="00161E95" w:rsidRDefault="00E50D43" w:rsidP="00161E95">
      <w:pPr>
        <w:pStyle w:val="ListParagraph"/>
        <w:numPr>
          <w:ilvl w:val="0"/>
          <w:numId w:val="2"/>
        </w:numPr>
        <w:jc w:val="both"/>
        <w:rPr>
          <w:color w:val="2F5496" w:themeColor="accent1" w:themeShade="BF"/>
          <w:sz w:val="28"/>
          <w:szCs w:val="28"/>
        </w:rPr>
      </w:pPr>
      <w:r w:rsidRPr="00161E95">
        <w:rPr>
          <w:color w:val="2F5496" w:themeColor="accent1" w:themeShade="BF"/>
          <w:sz w:val="28"/>
          <w:szCs w:val="28"/>
        </w:rPr>
        <w:lastRenderedPageBreak/>
        <w:t>Known Other-Sourced Legislation</w:t>
      </w:r>
    </w:p>
    <w:p w14:paraId="4BC3985B" w14:textId="77777777" w:rsidR="00E50D43" w:rsidRPr="00E50D43" w:rsidRDefault="00934950" w:rsidP="00ED4792">
      <w:pPr>
        <w:contextualSpacing/>
        <w:jc w:val="both"/>
        <w:rPr>
          <w:sz w:val="26"/>
          <w:szCs w:val="26"/>
        </w:rPr>
      </w:pPr>
      <w:r w:rsidRPr="00E50D43">
        <w:rPr>
          <w:sz w:val="26"/>
          <w:szCs w:val="26"/>
        </w:rPr>
        <w:t xml:space="preserve">There is a piece of legislation that Delegate Martha Mugler has decided to patron that would establish unequivocally that in the case of a declared emergency due to communicable </w:t>
      </w:r>
      <w:r w:rsidR="00242A64" w:rsidRPr="00E50D43">
        <w:rPr>
          <w:sz w:val="26"/>
          <w:szCs w:val="26"/>
        </w:rPr>
        <w:t xml:space="preserve">disease, funeral service(s) licensees will be considered essential workers and will be afforded priority as such during a declared emergency with regard to receipt of PPE. </w:t>
      </w:r>
    </w:p>
    <w:p w14:paraId="30D50CA3" w14:textId="77777777" w:rsidR="00E50D43" w:rsidRPr="00E50D43" w:rsidRDefault="00E50D43" w:rsidP="00ED4792">
      <w:pPr>
        <w:contextualSpacing/>
        <w:jc w:val="both"/>
        <w:rPr>
          <w:sz w:val="26"/>
          <w:szCs w:val="26"/>
        </w:rPr>
      </w:pPr>
    </w:p>
    <w:p w14:paraId="21A5800A" w14:textId="29B8C7C8" w:rsidR="00934950" w:rsidRPr="00E50D43" w:rsidRDefault="00242A64" w:rsidP="00ED4792">
      <w:pPr>
        <w:contextualSpacing/>
        <w:jc w:val="both"/>
        <w:rPr>
          <w:sz w:val="26"/>
          <w:szCs w:val="26"/>
        </w:rPr>
      </w:pPr>
      <w:r w:rsidRPr="00E50D43">
        <w:rPr>
          <w:sz w:val="26"/>
          <w:szCs w:val="26"/>
        </w:rPr>
        <w:t xml:space="preserve">The VFDA has agreed to support the legislation. </w:t>
      </w:r>
    </w:p>
    <w:p w14:paraId="02DFDBE1" w14:textId="47421E83" w:rsidR="00561006" w:rsidRDefault="00561006" w:rsidP="00ED4792">
      <w:pPr>
        <w:contextualSpacing/>
        <w:jc w:val="both"/>
        <w:rPr>
          <w:sz w:val="28"/>
          <w:szCs w:val="28"/>
        </w:rPr>
      </w:pPr>
    </w:p>
    <w:tbl>
      <w:tblPr>
        <w:tblStyle w:val="TableGrid"/>
        <w:tblW w:w="0" w:type="auto"/>
        <w:tblLook w:val="04A0" w:firstRow="1" w:lastRow="0" w:firstColumn="1" w:lastColumn="0" w:noHBand="0" w:noVBand="1"/>
      </w:tblPr>
      <w:tblGrid>
        <w:gridCol w:w="9350"/>
      </w:tblGrid>
      <w:tr w:rsidR="00CA0BA0" w14:paraId="4422B394" w14:textId="77777777" w:rsidTr="007539B0">
        <w:tc>
          <w:tcPr>
            <w:tcW w:w="9350" w:type="dxa"/>
            <w:shd w:val="clear" w:color="auto" w:fill="FF0000"/>
          </w:tcPr>
          <w:p w14:paraId="4A6C1B1D" w14:textId="4B887A61" w:rsidR="00CA0BA0" w:rsidRDefault="00011E04" w:rsidP="006A4378">
            <w:pPr>
              <w:pStyle w:val="ListParagraph"/>
              <w:numPr>
                <w:ilvl w:val="0"/>
                <w:numId w:val="4"/>
              </w:numPr>
              <w:jc w:val="center"/>
              <w:rPr>
                <w:b/>
                <w:bCs/>
                <w:sz w:val="28"/>
                <w:szCs w:val="28"/>
              </w:rPr>
            </w:pPr>
            <w:r w:rsidRPr="006A4378">
              <w:rPr>
                <w:b/>
                <w:bCs/>
                <w:sz w:val="28"/>
                <w:szCs w:val="28"/>
              </w:rPr>
              <w:t>TO DO’S FOR VFDA MEMBERSHIP –</w:t>
            </w:r>
          </w:p>
          <w:p w14:paraId="4DCBB1EE" w14:textId="77777777" w:rsidR="006A4378" w:rsidRPr="006A4378" w:rsidRDefault="006A4378" w:rsidP="006A4378">
            <w:pPr>
              <w:pStyle w:val="ListParagraph"/>
              <w:rPr>
                <w:b/>
                <w:bCs/>
                <w:sz w:val="16"/>
                <w:szCs w:val="16"/>
              </w:rPr>
            </w:pPr>
          </w:p>
          <w:p w14:paraId="4EFFE63B" w14:textId="0ABF263F" w:rsidR="00011E04" w:rsidRDefault="00011E04" w:rsidP="00011E04">
            <w:pPr>
              <w:pStyle w:val="ListParagraph"/>
              <w:numPr>
                <w:ilvl w:val="0"/>
                <w:numId w:val="3"/>
              </w:numPr>
              <w:jc w:val="both"/>
              <w:rPr>
                <w:sz w:val="28"/>
                <w:szCs w:val="28"/>
              </w:rPr>
            </w:pPr>
            <w:r>
              <w:rPr>
                <w:sz w:val="28"/>
                <w:szCs w:val="28"/>
              </w:rPr>
              <w:t>Please immediately send to Lacy stories of how family disputes have created challenges for families and your funeral service establishment alike.</w:t>
            </w:r>
          </w:p>
          <w:p w14:paraId="622B077E" w14:textId="77777777" w:rsidR="006A4378" w:rsidRDefault="006A4378" w:rsidP="006A4378">
            <w:pPr>
              <w:pStyle w:val="ListParagraph"/>
              <w:jc w:val="both"/>
              <w:rPr>
                <w:sz w:val="28"/>
                <w:szCs w:val="28"/>
              </w:rPr>
            </w:pPr>
          </w:p>
          <w:p w14:paraId="219477C4" w14:textId="27CB46FD" w:rsidR="00011E04" w:rsidRDefault="00011E04" w:rsidP="00011E04">
            <w:pPr>
              <w:pStyle w:val="ListParagraph"/>
              <w:numPr>
                <w:ilvl w:val="0"/>
                <w:numId w:val="3"/>
              </w:numPr>
              <w:jc w:val="both"/>
              <w:rPr>
                <w:sz w:val="28"/>
                <w:szCs w:val="28"/>
              </w:rPr>
            </w:pPr>
            <w:r>
              <w:rPr>
                <w:sz w:val="28"/>
                <w:szCs w:val="28"/>
              </w:rPr>
              <w:t>Please immediatel</w:t>
            </w:r>
            <w:r w:rsidR="006A4378">
              <w:rPr>
                <w:sz w:val="28"/>
                <w:szCs w:val="28"/>
              </w:rPr>
              <w:t xml:space="preserve">y (you and your employees) </w:t>
            </w:r>
            <w:r>
              <w:rPr>
                <w:sz w:val="28"/>
                <w:szCs w:val="28"/>
              </w:rPr>
              <w:t xml:space="preserve">reach out to your House and Senate representatives (for where you live and where your funeral service establishment is located) </w:t>
            </w:r>
            <w:r w:rsidR="006A4378">
              <w:rPr>
                <w:sz w:val="28"/>
                <w:szCs w:val="28"/>
              </w:rPr>
              <w:t>with messaging provided to you.</w:t>
            </w:r>
          </w:p>
          <w:p w14:paraId="46FBC789" w14:textId="0E4C5639" w:rsidR="006A4378" w:rsidRPr="007C2F87" w:rsidRDefault="006A4378" w:rsidP="007C2F87">
            <w:pPr>
              <w:pStyle w:val="ListParagraph"/>
              <w:jc w:val="both"/>
              <w:rPr>
                <w:sz w:val="28"/>
                <w:szCs w:val="28"/>
              </w:rPr>
            </w:pPr>
          </w:p>
        </w:tc>
      </w:tr>
    </w:tbl>
    <w:p w14:paraId="4E994FBF" w14:textId="77777777" w:rsidR="00CA0BA0" w:rsidRPr="00C73056" w:rsidRDefault="00CA0BA0" w:rsidP="00ED4792">
      <w:pPr>
        <w:contextualSpacing/>
        <w:jc w:val="both"/>
        <w:rPr>
          <w:sz w:val="28"/>
          <w:szCs w:val="28"/>
        </w:rPr>
      </w:pPr>
    </w:p>
    <w:sectPr w:rsidR="00CA0BA0" w:rsidRPr="00C73056" w:rsidSect="00FB4B59">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26F29"/>
    <w:multiLevelType w:val="hybridMultilevel"/>
    <w:tmpl w:val="5964B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913B0"/>
    <w:multiLevelType w:val="hybridMultilevel"/>
    <w:tmpl w:val="EC147F30"/>
    <w:lvl w:ilvl="0" w:tplc="109A6A0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73036"/>
    <w:multiLevelType w:val="hybridMultilevel"/>
    <w:tmpl w:val="7F682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23514"/>
    <w:multiLevelType w:val="hybridMultilevel"/>
    <w:tmpl w:val="5A7A6260"/>
    <w:lvl w:ilvl="0" w:tplc="9A0666F0">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F80F3F"/>
    <w:multiLevelType w:val="hybridMultilevel"/>
    <w:tmpl w:val="49743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59"/>
    <w:rsid w:val="00011E04"/>
    <w:rsid w:val="0002069B"/>
    <w:rsid w:val="000518B9"/>
    <w:rsid w:val="00075470"/>
    <w:rsid w:val="001221DD"/>
    <w:rsid w:val="00140354"/>
    <w:rsid w:val="00146A01"/>
    <w:rsid w:val="00161E95"/>
    <w:rsid w:val="00165E28"/>
    <w:rsid w:val="00166CD4"/>
    <w:rsid w:val="0017400D"/>
    <w:rsid w:val="00186097"/>
    <w:rsid w:val="001C2BC8"/>
    <w:rsid w:val="001E3D7C"/>
    <w:rsid w:val="002002E3"/>
    <w:rsid w:val="002149A6"/>
    <w:rsid w:val="00242A64"/>
    <w:rsid w:val="00263693"/>
    <w:rsid w:val="003B57D8"/>
    <w:rsid w:val="003B68FA"/>
    <w:rsid w:val="003F7334"/>
    <w:rsid w:val="004035F3"/>
    <w:rsid w:val="004313AF"/>
    <w:rsid w:val="00432E8B"/>
    <w:rsid w:val="0049677D"/>
    <w:rsid w:val="004C0C43"/>
    <w:rsid w:val="00501E24"/>
    <w:rsid w:val="00550467"/>
    <w:rsid w:val="00561006"/>
    <w:rsid w:val="005C47F7"/>
    <w:rsid w:val="00603FA0"/>
    <w:rsid w:val="00621F5A"/>
    <w:rsid w:val="006A4378"/>
    <w:rsid w:val="00711D6F"/>
    <w:rsid w:val="00715DFF"/>
    <w:rsid w:val="007539B0"/>
    <w:rsid w:val="00796B75"/>
    <w:rsid w:val="007A67DF"/>
    <w:rsid w:val="007C2F87"/>
    <w:rsid w:val="007C6797"/>
    <w:rsid w:val="008A65BF"/>
    <w:rsid w:val="008B120D"/>
    <w:rsid w:val="008F5639"/>
    <w:rsid w:val="00934950"/>
    <w:rsid w:val="0097672D"/>
    <w:rsid w:val="00A3191D"/>
    <w:rsid w:val="00A55D53"/>
    <w:rsid w:val="00A928D7"/>
    <w:rsid w:val="00B36816"/>
    <w:rsid w:val="00BC3633"/>
    <w:rsid w:val="00BD19D4"/>
    <w:rsid w:val="00C11EED"/>
    <w:rsid w:val="00C73056"/>
    <w:rsid w:val="00C751D5"/>
    <w:rsid w:val="00CA0BA0"/>
    <w:rsid w:val="00CC7B88"/>
    <w:rsid w:val="00CE61A3"/>
    <w:rsid w:val="00D10781"/>
    <w:rsid w:val="00D54D15"/>
    <w:rsid w:val="00DE0BC6"/>
    <w:rsid w:val="00E50D43"/>
    <w:rsid w:val="00EB2C48"/>
    <w:rsid w:val="00ED4792"/>
    <w:rsid w:val="00F0515C"/>
    <w:rsid w:val="00F5281D"/>
    <w:rsid w:val="00FB4B59"/>
    <w:rsid w:val="00FC28F3"/>
    <w:rsid w:val="00FC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876B"/>
  <w15:chartTrackingRefBased/>
  <w15:docId w15:val="{AB138947-3AEB-4DBD-8663-6BA49779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B9"/>
    <w:pPr>
      <w:ind w:left="720"/>
      <w:contextualSpacing/>
    </w:pPr>
  </w:style>
  <w:style w:type="table" w:styleId="TableGrid">
    <w:name w:val="Table Grid"/>
    <w:basedOn w:val="TableNormal"/>
    <w:uiPriority w:val="39"/>
    <w:rsid w:val="00CA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120D"/>
    <w:pPr>
      <w:spacing w:after="0" w:line="240" w:lineRule="auto"/>
    </w:pPr>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8B120D"/>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006531C7C94386B104A19709F535" ma:contentTypeVersion="12" ma:contentTypeDescription="Create a new document." ma:contentTypeScope="" ma:versionID="540ff41b18acb6dffa7b187f3d10e27d">
  <xsd:schema xmlns:xsd="http://www.w3.org/2001/XMLSchema" xmlns:xs="http://www.w3.org/2001/XMLSchema" xmlns:p="http://schemas.microsoft.com/office/2006/metadata/properties" xmlns:ns3="d7e72b4a-4f70-42c6-aebf-205d2dbe6063" xmlns:ns4="705ea594-8f8d-43cb-8876-9f17fabb58a9" targetNamespace="http://schemas.microsoft.com/office/2006/metadata/properties" ma:root="true" ma:fieldsID="5f83bf415f42d6ea02b1886843d97d98" ns3:_="" ns4:_="">
    <xsd:import namespace="d7e72b4a-4f70-42c6-aebf-205d2dbe6063"/>
    <xsd:import namespace="705ea594-8f8d-43cb-8876-9f17fabb58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72b4a-4f70-42c6-aebf-205d2dbe6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ea594-8f8d-43cb-8876-9f17fabb58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139EC-59F7-4BE7-A294-E8F0ADD89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72b4a-4f70-42c6-aebf-205d2dbe6063"/>
    <ds:schemaRef ds:uri="705ea594-8f8d-43cb-8876-9f17fabb5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88FC2-2051-4C24-A280-2BBDA46A12B4}">
  <ds:schemaRefs>
    <ds:schemaRef ds:uri="http://schemas.microsoft.com/sharepoint/v3/contenttype/forms"/>
  </ds:schemaRefs>
</ds:datastoreItem>
</file>

<file path=customXml/itemProps3.xml><?xml version="1.0" encoding="utf-8"?>
<ds:datastoreItem xmlns:ds="http://schemas.openxmlformats.org/officeDocument/2006/customXml" ds:itemID="{6A0DB2F9-EBF8-4CC9-91AC-9F312C97E9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Bezik</dc:creator>
  <cp:keywords/>
  <dc:description/>
  <cp:lastModifiedBy>Angela Bezik</cp:lastModifiedBy>
  <cp:revision>2</cp:revision>
  <cp:lastPrinted>2020-10-29T18:43:00Z</cp:lastPrinted>
  <dcterms:created xsi:type="dcterms:W3CDTF">2021-01-09T19:08:00Z</dcterms:created>
  <dcterms:modified xsi:type="dcterms:W3CDTF">2021-01-09T19:08:00Z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0x0101009512006531C7C94386B104A19709F535</vt:lpwstr>
  </property>
</Properties>
</file>